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79" w:rsidRDefault="00EF6079" w:rsidP="00EF6079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B24313">
        <w:rPr>
          <w:b/>
          <w:sz w:val="28"/>
          <w:szCs w:val="28"/>
        </w:rPr>
        <w:t>о результатах контрольного мероприятия:</w:t>
      </w:r>
      <w:bookmarkStart w:id="0" w:name="_Hlk142862394"/>
      <w:r>
        <w:rPr>
          <w:b/>
          <w:sz w:val="28"/>
          <w:szCs w:val="28"/>
        </w:rPr>
        <w:t xml:space="preserve"> </w:t>
      </w:r>
      <w:bookmarkEnd w:id="0"/>
      <w:r w:rsidRPr="00352128">
        <w:rPr>
          <w:b/>
          <w:sz w:val="28"/>
          <w:szCs w:val="28"/>
          <w:lang w:bidi="ru-RU"/>
        </w:rPr>
        <w:t>«</w:t>
      </w:r>
      <w:r w:rsidR="00880797" w:rsidRPr="00880797">
        <w:rPr>
          <w:b/>
          <w:sz w:val="28"/>
          <w:szCs w:val="28"/>
        </w:rPr>
        <w:t>Проверка финансово-хозяйственной деятельности в муниципальном унитарном предприятии Матвеево-Курганского района «Полигон</w:t>
      </w:r>
      <w:r w:rsidRPr="00880797">
        <w:rPr>
          <w:b/>
          <w:sz w:val="28"/>
          <w:szCs w:val="28"/>
          <w:lang w:bidi="ru-RU"/>
        </w:rPr>
        <w:t>».</w:t>
      </w:r>
      <w:r w:rsidRPr="00880797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B24313">
        <w:rPr>
          <w:b/>
          <w:sz w:val="28"/>
          <w:szCs w:val="28"/>
        </w:rPr>
        <w:t xml:space="preserve">(Акт от </w:t>
      </w:r>
      <w:r w:rsidR="00880797">
        <w:rPr>
          <w:b/>
          <w:sz w:val="28"/>
          <w:szCs w:val="28"/>
        </w:rPr>
        <w:t>29.03</w:t>
      </w:r>
      <w:r>
        <w:rPr>
          <w:b/>
          <w:sz w:val="28"/>
          <w:szCs w:val="28"/>
        </w:rPr>
        <w:t>.2024 №</w:t>
      </w:r>
      <w:r w:rsidR="008807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-КМ/2024</w:t>
      </w:r>
      <w:r w:rsidRPr="00B24313">
        <w:rPr>
          <w:b/>
          <w:sz w:val="28"/>
          <w:szCs w:val="28"/>
        </w:rPr>
        <w:t>).</w:t>
      </w:r>
    </w:p>
    <w:p w:rsidR="00EF6079" w:rsidRDefault="00EF6079" w:rsidP="00EF6079">
      <w:pPr>
        <w:pStyle w:val="Default"/>
        <w:contextualSpacing/>
        <w:jc w:val="center"/>
        <w:rPr>
          <w:b/>
          <w:sz w:val="28"/>
          <w:szCs w:val="28"/>
        </w:rPr>
      </w:pPr>
    </w:p>
    <w:p w:rsidR="00EF6079" w:rsidRDefault="00EF6079" w:rsidP="00EF60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85902">
        <w:rPr>
          <w:color w:val="auto"/>
          <w:sz w:val="28"/>
          <w:szCs w:val="28"/>
        </w:rPr>
        <w:t xml:space="preserve">В соответствии с </w:t>
      </w:r>
      <w:r w:rsidR="00880797" w:rsidRPr="00A76EFB">
        <w:rPr>
          <w:rFonts w:eastAsia="Calibri"/>
          <w:sz w:val="28"/>
          <w:szCs w:val="28"/>
        </w:rPr>
        <w:t>подпункт</w:t>
      </w:r>
      <w:r w:rsidR="00880797">
        <w:rPr>
          <w:rFonts w:eastAsia="Calibri"/>
          <w:sz w:val="28"/>
          <w:szCs w:val="28"/>
        </w:rPr>
        <w:t>ом</w:t>
      </w:r>
      <w:r w:rsidR="00880797" w:rsidRPr="00A76EFB">
        <w:rPr>
          <w:rFonts w:eastAsia="Calibri"/>
          <w:sz w:val="28"/>
          <w:szCs w:val="28"/>
        </w:rPr>
        <w:t xml:space="preserve"> 5.3.2</w:t>
      </w:r>
      <w:r w:rsidRPr="00D85902">
        <w:rPr>
          <w:color w:val="auto"/>
          <w:sz w:val="28"/>
          <w:szCs w:val="28"/>
        </w:rPr>
        <w:t>. Плана работы Контрольно-счетной палаты Матвеево-Курганского района на 202</w:t>
      </w:r>
      <w:r>
        <w:rPr>
          <w:color w:val="auto"/>
          <w:sz w:val="28"/>
          <w:szCs w:val="28"/>
        </w:rPr>
        <w:t>4</w:t>
      </w:r>
      <w:r w:rsidRPr="00D85902">
        <w:rPr>
          <w:color w:val="auto"/>
          <w:sz w:val="28"/>
          <w:szCs w:val="28"/>
        </w:rPr>
        <w:t xml:space="preserve"> год, утвержденного приказом председателя Контрольно-счетной палаты Матвеево-Курганского района </w:t>
      </w:r>
      <w:r w:rsidR="00880797" w:rsidRPr="00A76EFB">
        <w:rPr>
          <w:rFonts w:eastAsia="Calibri"/>
          <w:sz w:val="28"/>
          <w:szCs w:val="28"/>
        </w:rPr>
        <w:t>от 28.12.2023 № 43 с изменениями от 01.03.2024 №9</w:t>
      </w:r>
      <w:r w:rsidRPr="00D8590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D85902">
        <w:rPr>
          <w:color w:val="auto"/>
          <w:sz w:val="28"/>
          <w:szCs w:val="28"/>
        </w:rPr>
        <w:t xml:space="preserve">на основании </w:t>
      </w:r>
      <w:r w:rsidR="00880797">
        <w:rPr>
          <w:sz w:val="28"/>
          <w:szCs w:val="28"/>
        </w:rPr>
        <w:t>распоряжения</w:t>
      </w:r>
      <w:r w:rsidR="00880797" w:rsidRPr="00A76EFB">
        <w:rPr>
          <w:sz w:val="28"/>
          <w:szCs w:val="28"/>
        </w:rPr>
        <w:t xml:space="preserve"> председателя </w:t>
      </w:r>
      <w:proofErr w:type="spellStart"/>
      <w:r w:rsidR="00880797" w:rsidRPr="00A76EFB">
        <w:rPr>
          <w:sz w:val="28"/>
          <w:szCs w:val="28"/>
        </w:rPr>
        <w:t>Контрольно</w:t>
      </w:r>
      <w:proofErr w:type="spellEnd"/>
      <w:r w:rsidR="00880797" w:rsidRPr="00A76EFB">
        <w:rPr>
          <w:sz w:val="28"/>
          <w:szCs w:val="28"/>
        </w:rPr>
        <w:t>–счетной палаты Матвеево–Кур</w:t>
      </w:r>
      <w:r w:rsidR="00880797">
        <w:rPr>
          <w:sz w:val="28"/>
          <w:szCs w:val="28"/>
        </w:rPr>
        <w:t>ганского района от 08.02.2024 №</w:t>
      </w:r>
      <w:r w:rsidR="00880797" w:rsidRPr="00A76EFB">
        <w:rPr>
          <w:sz w:val="28"/>
          <w:szCs w:val="28"/>
        </w:rPr>
        <w:t>75Р-КСП с изменениями от 12.03.2024 №92Р-КСП</w:t>
      </w:r>
      <w:r w:rsidR="00880797" w:rsidRPr="00D85902">
        <w:rPr>
          <w:color w:val="auto"/>
          <w:sz w:val="28"/>
        </w:rPr>
        <w:t xml:space="preserve"> </w:t>
      </w:r>
      <w:r w:rsidRPr="00D85902">
        <w:rPr>
          <w:color w:val="auto"/>
          <w:sz w:val="28"/>
        </w:rPr>
        <w:t xml:space="preserve">в </w:t>
      </w:r>
      <w:r w:rsidR="00880797" w:rsidRPr="00A76EFB">
        <w:rPr>
          <w:lang w:eastAsia="ru-RU" w:bidi="ru-RU"/>
        </w:rPr>
        <w:t xml:space="preserve"> </w:t>
      </w:r>
      <w:r w:rsidR="00880797" w:rsidRPr="00880797">
        <w:rPr>
          <w:sz w:val="28"/>
          <w:szCs w:val="28"/>
        </w:rPr>
        <w:t>муниципальном унитарном предприятии Матвеево-Курганского района «Полигон»</w:t>
      </w:r>
      <w:r w:rsidR="00880797">
        <w:rPr>
          <w:color w:val="auto"/>
          <w:sz w:val="28"/>
        </w:rPr>
        <w:t xml:space="preserve"> </w:t>
      </w:r>
      <w:r w:rsidR="005431C6">
        <w:rPr>
          <w:color w:val="auto"/>
          <w:sz w:val="28"/>
        </w:rPr>
        <w:t xml:space="preserve">(далее – </w:t>
      </w:r>
      <w:r w:rsidR="00880797">
        <w:rPr>
          <w:color w:val="auto"/>
          <w:sz w:val="28"/>
        </w:rPr>
        <w:t>Предприятие</w:t>
      </w:r>
      <w:r w:rsidR="005431C6">
        <w:rPr>
          <w:color w:val="auto"/>
          <w:sz w:val="28"/>
        </w:rPr>
        <w:t xml:space="preserve">) </w:t>
      </w:r>
      <w:r w:rsidRPr="00D85902">
        <w:rPr>
          <w:color w:val="auto"/>
          <w:sz w:val="28"/>
        </w:rPr>
        <w:t xml:space="preserve">в период </w:t>
      </w:r>
      <w:r w:rsidRPr="00D85902">
        <w:rPr>
          <w:bCs/>
          <w:iCs/>
          <w:color w:val="auto"/>
          <w:sz w:val="28"/>
          <w:szCs w:val="28"/>
        </w:rPr>
        <w:t xml:space="preserve">с </w:t>
      </w:r>
      <w:r w:rsidR="00880797">
        <w:rPr>
          <w:bCs/>
          <w:iCs/>
          <w:color w:val="auto"/>
          <w:sz w:val="28"/>
          <w:szCs w:val="28"/>
        </w:rPr>
        <w:t>19</w:t>
      </w:r>
      <w:r w:rsidRPr="00D85902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>0</w:t>
      </w:r>
      <w:r w:rsidR="00880797">
        <w:rPr>
          <w:bCs/>
          <w:iCs/>
          <w:color w:val="auto"/>
          <w:sz w:val="28"/>
          <w:szCs w:val="28"/>
        </w:rPr>
        <w:t>2</w:t>
      </w:r>
      <w:r w:rsidRPr="00D85902">
        <w:rPr>
          <w:bCs/>
          <w:iCs/>
          <w:color w:val="auto"/>
          <w:sz w:val="28"/>
          <w:szCs w:val="28"/>
        </w:rPr>
        <w:t>.202</w:t>
      </w:r>
      <w:r>
        <w:rPr>
          <w:bCs/>
          <w:iCs/>
          <w:color w:val="auto"/>
          <w:sz w:val="28"/>
          <w:szCs w:val="28"/>
        </w:rPr>
        <w:t>4</w:t>
      </w:r>
      <w:r w:rsidRPr="00D85902">
        <w:rPr>
          <w:bCs/>
          <w:iCs/>
          <w:color w:val="auto"/>
          <w:sz w:val="28"/>
          <w:szCs w:val="28"/>
        </w:rPr>
        <w:t xml:space="preserve"> по </w:t>
      </w:r>
      <w:r w:rsidR="00880797">
        <w:rPr>
          <w:bCs/>
          <w:iCs/>
          <w:color w:val="auto"/>
          <w:sz w:val="28"/>
          <w:szCs w:val="28"/>
        </w:rPr>
        <w:t>29</w:t>
      </w:r>
      <w:r w:rsidRPr="00D85902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>0</w:t>
      </w:r>
      <w:r w:rsidR="00880797">
        <w:rPr>
          <w:bCs/>
          <w:iCs/>
          <w:color w:val="auto"/>
          <w:sz w:val="28"/>
          <w:szCs w:val="28"/>
        </w:rPr>
        <w:t>3</w:t>
      </w:r>
      <w:r w:rsidRPr="00D85902">
        <w:rPr>
          <w:bCs/>
          <w:iCs/>
          <w:color w:val="auto"/>
          <w:sz w:val="28"/>
          <w:szCs w:val="28"/>
        </w:rPr>
        <w:t>.202</w:t>
      </w:r>
      <w:r>
        <w:rPr>
          <w:bCs/>
          <w:iCs/>
          <w:color w:val="auto"/>
          <w:sz w:val="28"/>
          <w:szCs w:val="28"/>
        </w:rPr>
        <w:t>4</w:t>
      </w:r>
      <w:r w:rsidRPr="00D85902">
        <w:rPr>
          <w:color w:val="auto"/>
          <w:sz w:val="28"/>
        </w:rPr>
        <w:t xml:space="preserve"> проведено </w:t>
      </w:r>
      <w:r w:rsidRPr="00D85902">
        <w:rPr>
          <w:color w:val="auto"/>
          <w:sz w:val="28"/>
          <w:szCs w:val="28"/>
        </w:rPr>
        <w:t>контрольное мероприятие</w:t>
      </w:r>
      <w:r w:rsidRPr="00580E65">
        <w:rPr>
          <w:color w:val="auto"/>
          <w:sz w:val="28"/>
          <w:szCs w:val="28"/>
        </w:rPr>
        <w:t>.</w:t>
      </w:r>
    </w:p>
    <w:p w:rsidR="00EF6079" w:rsidRDefault="00EF6079" w:rsidP="00EF60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2A75FA" w:rsidRPr="007C7E9D" w:rsidRDefault="002A75FA" w:rsidP="007C7E9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76688">
        <w:rPr>
          <w:sz w:val="28"/>
          <w:szCs w:val="28"/>
        </w:rPr>
        <w:t xml:space="preserve">Общий объем проверенных средств составил </w:t>
      </w:r>
      <w:r w:rsidR="007C7E9D" w:rsidRPr="007C7E9D">
        <w:rPr>
          <w:rFonts w:eastAsia="Calibri"/>
          <w:bCs/>
          <w:sz w:val="28"/>
          <w:szCs w:val="28"/>
        </w:rPr>
        <w:t>60</w:t>
      </w:r>
      <w:r w:rsidR="007C7E9D" w:rsidRPr="007C7E9D">
        <w:rPr>
          <w:rFonts w:eastAsia="Calibri"/>
          <w:bCs/>
          <w:sz w:val="28"/>
          <w:szCs w:val="28"/>
          <w:lang w:val="en-US"/>
        </w:rPr>
        <w:t> </w:t>
      </w:r>
      <w:r w:rsidR="007C7E9D" w:rsidRPr="007C7E9D">
        <w:rPr>
          <w:rFonts w:eastAsia="Calibri"/>
          <w:bCs/>
          <w:sz w:val="28"/>
          <w:szCs w:val="28"/>
        </w:rPr>
        <w:t>651,6</w:t>
      </w:r>
      <w:r w:rsidR="007C7E9D" w:rsidRPr="007C7E9D">
        <w:rPr>
          <w:rFonts w:eastAsia="Calibri"/>
          <w:bCs/>
          <w:color w:val="FF0000"/>
          <w:sz w:val="28"/>
          <w:szCs w:val="28"/>
        </w:rPr>
        <w:t xml:space="preserve"> </w:t>
      </w:r>
      <w:r w:rsidR="007C7E9D" w:rsidRPr="007C7E9D">
        <w:rPr>
          <w:rFonts w:eastAsia="Calibri"/>
          <w:bCs/>
          <w:sz w:val="28"/>
          <w:szCs w:val="28"/>
        </w:rPr>
        <w:t>тыс. рублей.</w:t>
      </w:r>
    </w:p>
    <w:p w:rsidR="002A75FA" w:rsidRDefault="002A75FA" w:rsidP="002A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FA" w:rsidRDefault="002A75FA" w:rsidP="002A75FA">
      <w:pPr>
        <w:spacing w:after="0" w:line="240" w:lineRule="auto"/>
        <w:ind w:firstLine="709"/>
        <w:jc w:val="both"/>
      </w:pPr>
      <w:r w:rsidRPr="0067668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76EC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676688"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F01547">
        <w:rPr>
          <w:rFonts w:ascii="Times New Roman" w:hAnsi="Times New Roman" w:cs="Times New Roman"/>
          <w:sz w:val="28"/>
          <w:szCs w:val="28"/>
        </w:rPr>
        <w:t>23</w:t>
      </w:r>
      <w:r w:rsidRPr="0067668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01547">
        <w:rPr>
          <w:rFonts w:ascii="Times New Roman" w:hAnsi="Times New Roman" w:cs="Times New Roman"/>
          <w:sz w:val="28"/>
          <w:szCs w:val="28"/>
        </w:rPr>
        <w:t>я</w:t>
      </w:r>
      <w:r w:rsidRPr="0067668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F01547">
        <w:rPr>
          <w:rFonts w:ascii="Times New Roman" w:hAnsi="Times New Roman" w:cs="Times New Roman"/>
          <w:sz w:val="28"/>
          <w:szCs w:val="28"/>
        </w:rPr>
        <w:t>2 149,3</w:t>
      </w:r>
      <w:r w:rsidRPr="0067668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676688">
        <w:t xml:space="preserve"> </w:t>
      </w:r>
    </w:p>
    <w:p w:rsidR="001A43DB" w:rsidRPr="001A43DB" w:rsidRDefault="001A43DB" w:rsidP="001A43D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7C7E9D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Pr="001A43DB">
        <w:rPr>
          <w:rFonts w:ascii="Times New Roman" w:eastAsiaTheme="minorEastAsia" w:hAnsi="Times New Roman"/>
          <w:sz w:val="28"/>
          <w:szCs w:val="28"/>
          <w:lang w:eastAsia="ru-RU"/>
        </w:rPr>
        <w:t>нарушение пункта 4.3. Устава</w:t>
      </w:r>
      <w:r w:rsidR="007C7E9D">
        <w:rPr>
          <w:rFonts w:ascii="Times New Roman" w:eastAsiaTheme="minorEastAsia" w:hAnsi="Times New Roman"/>
          <w:sz w:val="28"/>
          <w:szCs w:val="28"/>
          <w:lang w:eastAsia="ru-RU"/>
        </w:rPr>
        <w:t xml:space="preserve"> н</w:t>
      </w:r>
      <w:r w:rsidR="00392696" w:rsidRPr="001A43DB">
        <w:rPr>
          <w:rFonts w:ascii="Times New Roman" w:eastAsiaTheme="minorEastAsia" w:hAnsi="Times New Roman"/>
          <w:sz w:val="28"/>
          <w:szCs w:val="28"/>
          <w:lang w:eastAsia="ru-RU"/>
        </w:rPr>
        <w:t>е утверждена</w:t>
      </w:r>
      <w:r w:rsidR="0039269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производственная п</w:t>
      </w:r>
      <w:r w:rsidRPr="001A43DB">
        <w:rPr>
          <w:rFonts w:ascii="Times New Roman" w:eastAsiaTheme="minorEastAsia" w:hAnsi="Times New Roman"/>
          <w:sz w:val="28"/>
          <w:szCs w:val="28"/>
          <w:lang w:eastAsia="ru-RU"/>
        </w:rPr>
        <w:t>рограмма на 2023-2024 годы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392696" w:rsidRPr="00392696" w:rsidRDefault="001A43DB" w:rsidP="0039269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>-</w:t>
      </w:r>
      <w:r w:rsidR="007C7E9D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в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нарушение пункта 5 </w:t>
      </w:r>
      <w:r w:rsidR="00392696" w:rsidRPr="00392696">
        <w:rPr>
          <w:rFonts w:ascii="Times New Roman" w:eastAsiaTheme="minorEastAsia" w:hAnsi="Times New Roman"/>
          <w:sz w:val="28"/>
          <w:szCs w:val="28"/>
          <w:lang w:eastAsia="ru-RU"/>
        </w:rPr>
        <w:t>Федерального стандарта бухгалтерского учета ФСБУ 6/2020 «Основные средства»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>, пункта 2.1</w:t>
      </w:r>
      <w:r w:rsidR="00392696" w:rsidRPr="0039269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. 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раздела 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val="en-US" w:eastAsia="ru-RU"/>
        </w:rPr>
        <w:t>II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«</w:t>
      </w:r>
      <w:r w:rsidR="00392696" w:rsidRPr="0039269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аспекты (способ ведения бухгалтерского учета)</w:t>
      </w:r>
      <w:r w:rsidR="00392696" w:rsidRPr="00392696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Учетной политики</w:t>
      </w:r>
      <w:r w:rsidR="007C7E9D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в</w:t>
      </w:r>
      <w:r w:rsidR="00392696"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бухгалтерском учете Предприятия:</w:t>
      </w:r>
    </w:p>
    <w:p w:rsidR="00392696" w:rsidRPr="00392696" w:rsidRDefault="00392696" w:rsidP="0039269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>-  по состоянию на 01.01.2023 на счете 01.01 «Основные средства в организации» числится 24 объекта, стоимостью ниже лимита установленного с учетом существенности информации о таких активах 100,0 тыс. рублей, общей стоимостью 1 120 ,7 тыс. рублей;</w:t>
      </w:r>
    </w:p>
    <w:p w:rsidR="00392696" w:rsidRPr="00392696" w:rsidRDefault="00392696" w:rsidP="0039269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>- по состоянию на 01.01.2024 на счете 01.01 «Основные средства в организации» числятся 15 объектов, стоимостью ниже лимита установленного с учетом существенности информации о таких активах 100,0 тыс. рублей, общей стоимостью 645,1 тыс. рублей.</w:t>
      </w:r>
    </w:p>
    <w:p w:rsidR="001A43DB" w:rsidRPr="001A43DB" w:rsidRDefault="00392696" w:rsidP="00392696">
      <w:pPr>
        <w:autoSpaceDE w:val="0"/>
        <w:autoSpaceDN w:val="0"/>
        <w:spacing w:before="161" w:after="161" w:line="240" w:lineRule="auto"/>
        <w:ind w:firstLine="709"/>
        <w:contextualSpacing/>
        <w:jc w:val="both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 w:rsidRPr="00392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Данное нарушение </w:t>
      </w:r>
      <w:r w:rsidRPr="00392696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привело к необоснованному завышению стоимости основных средств по счету 01.01 «Основные средства в организации» по состоянию на 01.01.2023 </w:t>
      </w:r>
      <w:r w:rsidRPr="00392696">
        <w:rPr>
          <w:rFonts w:ascii="Times New Roman" w:eastAsia="Times New Roman" w:hAnsi="Times New Roman"/>
          <w:iCs/>
          <w:sz w:val="28"/>
          <w:szCs w:val="28"/>
          <w:lang w:eastAsia="ru-RU"/>
        </w:rPr>
        <w:t>на сумму 1 120,7 тыс. рублей, что повлекло искажение годовой бухгалтерской (фина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нсовой) отчетности за 2022 год;</w:t>
      </w:r>
    </w:p>
    <w:p w:rsidR="00E62339" w:rsidRDefault="001A43DB" w:rsidP="00E62339">
      <w:pPr>
        <w:spacing w:after="120" w:line="240" w:lineRule="auto"/>
        <w:ind w:right="27"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- </w:t>
      </w:r>
      <w:r w:rsidR="00E62339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в нарушение пункта </w:t>
      </w:r>
      <w:r w:rsidR="00E62339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2.3.1. раздела 2.3 «Материально-производственные запасы» Учетной политики</w:t>
      </w:r>
      <w:r w:rsidR="00F01547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Предприятия</w:t>
      </w:r>
      <w:r w:rsidR="00E62339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, пункта 6.1.</w:t>
      </w:r>
      <w:r w:rsidR="00E62339">
        <w:rPr>
          <w:rFonts w:ascii="Times New Roman" w:eastAsia="Courier New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E62339">
        <w:rPr>
          <w:rFonts w:ascii="Times New Roman" w:hAnsi="Times New Roman"/>
          <w:sz w:val="28"/>
          <w:szCs w:val="28"/>
        </w:rPr>
        <w:t>распоряжения Министерства транспорта Российской Федерации от 14.03.2008 № АМ-23-р, П</w:t>
      </w:r>
      <w:r w:rsidR="00E62339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редприятием в период с апреля 2023 года по январь 2024 года списание топлива на автоцистерну вакуумную на шасси 466Е4 КАМАЗ 65115 и автомобиль ГАЗ-2752 279085 (специальный катафалк) осуществлялось по нормам расхода топлива установленным на основании актов контрольных  замеров, превышающим нормы расхода, утвержденные приказом директора Предприятия на основании «Отчета о проведении работ по расчету норм </w:t>
      </w:r>
      <w:r w:rsidR="00E62339">
        <w:rPr>
          <w:rFonts w:ascii="Times New Roman" w:eastAsia="Courier New" w:hAnsi="Times New Roman" w:cs="Times New Roman"/>
          <w:sz w:val="28"/>
          <w:szCs w:val="28"/>
          <w:lang w:eastAsia="zh-CN"/>
        </w:rPr>
        <w:lastRenderedPageBreak/>
        <w:t>расхода топлива на автомобили МУП «Полигон»</w:t>
      </w:r>
      <w:r w:rsidR="00E62339">
        <w:rPr>
          <w:rFonts w:ascii="Times New Roman" w:hAnsi="Times New Roman"/>
          <w:sz w:val="28"/>
          <w:szCs w:val="28"/>
        </w:rPr>
        <w:t xml:space="preserve"> от 28.10.2022 (ООО «НТЦ РИ»)</w:t>
      </w:r>
      <w:r w:rsidR="00E62339">
        <w:rPr>
          <w:rFonts w:ascii="Times New Roman" w:eastAsia="Courier New" w:hAnsi="Times New Roman" w:cs="Times New Roman"/>
          <w:sz w:val="28"/>
          <w:szCs w:val="28"/>
          <w:lang w:eastAsia="zh-CN"/>
        </w:rPr>
        <w:t>», что привело к сверхнормативным расходам ГСМ в количестве 3 056,68 литров на общую сумму 181,0 тыс. рублей;</w:t>
      </w:r>
    </w:p>
    <w:p w:rsidR="00F01547" w:rsidRDefault="00EF1E71" w:rsidP="001A43DB">
      <w:pPr>
        <w:spacing w:after="120" w:line="240" w:lineRule="auto"/>
        <w:ind w:right="27" w:firstLine="709"/>
        <w:contextualSpacing/>
        <w:jc w:val="both"/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1A43DB" w:rsidRPr="001A43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злишне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</w:t>
      </w:r>
      <w:r w:rsidR="00F01547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начислена и выплачена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преми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я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по результатам работы за месяц старшему мастеру 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в сумме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5,6 тыс. рублей, в том числе по счету 70 «Расчеты с персоналом по оплате труда» на сумму 4,7 тыс. рублей, по счету 69 «Расчеты по социальному страхованию и обеспечению» на сумму 0,9 тыс. рублей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;</w:t>
      </w:r>
    </w:p>
    <w:p w:rsidR="001A43DB" w:rsidRPr="001A43DB" w:rsidRDefault="00F01547" w:rsidP="001A43DB">
      <w:pPr>
        <w:spacing w:after="120" w:line="240" w:lineRule="auto"/>
        <w:ind w:right="27" w:firstLine="709"/>
        <w:contextualSpacing/>
        <w:jc w:val="both"/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- </w:t>
      </w:r>
      <w:r w:rsidR="00EF1E71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излишне 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начислена и выплачена 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преми</w:t>
      </w:r>
      <w:r w:rsidR="00EF1E71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я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по результатам работы за месяц, а также не верно рассчитан</w:t>
      </w:r>
      <w:r w:rsidR="00EF1E71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а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доплата за совмещение 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должностей 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старшему мастеру </w:t>
      </w:r>
      <w:r w:rsidR="00E62339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в сумме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 17,9 тыс. рублей, в том числе по счету 70 «Расчеты с персоналом по оплате труда» на сумму 13,8 тыс. рублей, по счету 69 «Расчеты по социальному страхованию и обеспе</w:t>
      </w:r>
      <w:r w:rsidR="00EF1E71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чению» на сумму 4,1 тыс. рублей;</w:t>
      </w:r>
    </w:p>
    <w:p w:rsidR="001A43DB" w:rsidRPr="001A43DB" w:rsidRDefault="00EF1E71" w:rsidP="001A43DB">
      <w:pPr>
        <w:spacing w:after="120" w:line="240" w:lineRule="auto"/>
        <w:ind w:right="27" w:firstLine="709"/>
        <w:contextualSpacing/>
        <w:jc w:val="both"/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- </w:t>
      </w:r>
      <w:r w:rsidR="00E62339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в 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 xml:space="preserve">нарушение пункта 2 </w:t>
      </w:r>
      <w:r w:rsidR="00376EC9" w:rsidRPr="00376EC9">
        <w:rPr>
          <w:rStyle w:val="a6"/>
          <w:rFonts w:ascii="Times New Roman" w:hAnsi="Times New Roman"/>
          <w:i w:val="0"/>
          <w:sz w:val="28"/>
          <w:szCs w:val="28"/>
        </w:rPr>
        <w:t>Указаний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376EC9" w:rsidRPr="00A77498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Предприятием в проверяемом</w:t>
      </w:r>
      <w:r w:rsidR="001A43DB" w:rsidRPr="001A43DB">
        <w:rPr>
          <w:rFonts w:ascii="Times New Roman" w:eastAsia="Courier New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1A43DB" w:rsidRPr="001A43DB"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периоде допущено накопление наличных денег в кассе сверх установленного лимита остатка наличных денег, а именно при установленном на 2023 год лимита остатка наличных денег в кассе в сумме 221,7 тыс. рублей, фактически остаток наличных денежных средств на конец дня 14 июня 2023 года составил 223,4 тыс. рублей, что на 1,7 тыс. рублей больше лимита остатка наличных денег в кассе, утвержденного приказом директора Предприятия</w:t>
      </w:r>
      <w:r>
        <w:rPr>
          <w:rFonts w:ascii="Times New Roman" w:eastAsia="Courier New" w:hAnsi="Times New Roman" w:cs="Times New Roman"/>
          <w:iCs/>
          <w:sz w:val="28"/>
          <w:szCs w:val="28"/>
          <w:lang w:eastAsia="zh-CN"/>
        </w:rPr>
        <w:t>;</w:t>
      </w:r>
    </w:p>
    <w:p w:rsidR="001A43DB" w:rsidRPr="001A43DB" w:rsidRDefault="00EF1E71" w:rsidP="001A43DB">
      <w:pPr>
        <w:spacing w:after="120" w:line="240" w:lineRule="auto"/>
        <w:ind w:right="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62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1A43DB" w:rsidRPr="001A43D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нарушение пункта 2.1 статьи 2 Федерального закона от 22.05.2003                              № 54-ФЗ товарные чеки на сумму 45,6 тыс. рублей оформлены не надлежащим документальным подтве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рждением состоявшегося расчета;</w:t>
      </w:r>
    </w:p>
    <w:p w:rsidR="001A43DB" w:rsidRPr="001A43DB" w:rsidRDefault="00EF1E71" w:rsidP="001A43DB">
      <w:pPr>
        <w:spacing w:after="120" w:line="240" w:lineRule="auto"/>
        <w:ind w:right="27" w:firstLine="709"/>
        <w:contextualSpacing/>
        <w:jc w:val="both"/>
        <w:rPr>
          <w:rFonts w:ascii="Times New Roman" w:eastAsia="Courier New" w:hAnsi="Times New Roman" w:cs="Times New Roman"/>
          <w:sz w:val="28"/>
          <w:lang w:eastAsia="zh-CN"/>
        </w:rPr>
      </w:pPr>
      <w:r>
        <w:rPr>
          <w:rFonts w:ascii="Times New Roman" w:eastAsia="Courier New" w:hAnsi="Times New Roman" w:cs="Times New Roman"/>
          <w:sz w:val="28"/>
          <w:szCs w:val="28"/>
          <w:lang w:eastAsia="zh-CN"/>
        </w:rPr>
        <w:t>-</w:t>
      </w:r>
      <w:r w:rsidR="00E62339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>нарушение пункта 2.6.3 «</w:t>
      </w:r>
      <w:r w:rsidR="001A43DB" w:rsidRPr="001A43DB">
        <w:rPr>
          <w:rFonts w:ascii="Times New Roman" w:eastAsia="Courier New" w:hAnsi="Times New Roman" w:cs="Times New Roman"/>
          <w:sz w:val="28"/>
          <w:lang w:eastAsia="zh-CN"/>
        </w:rPr>
        <w:t>Сроки и порядок составления и представления отчетов подотчетными лицами» Учетной политики Предприятия выд</w:t>
      </w:r>
      <w:r w:rsidR="001468A3">
        <w:rPr>
          <w:rFonts w:ascii="Times New Roman" w:eastAsia="Courier New" w:hAnsi="Times New Roman" w:cs="Times New Roman"/>
          <w:sz w:val="28"/>
          <w:lang w:eastAsia="zh-CN"/>
        </w:rPr>
        <w:t>авались</w:t>
      </w:r>
      <w:r w:rsidR="001A43DB" w:rsidRPr="001A43DB">
        <w:rPr>
          <w:rFonts w:ascii="Times New Roman" w:eastAsia="Courier New" w:hAnsi="Times New Roman" w:cs="Times New Roman"/>
          <w:sz w:val="28"/>
          <w:lang w:eastAsia="zh-CN"/>
        </w:rPr>
        <w:t xml:space="preserve"> денежные средства в подотчет выше установленного предельного размера</w:t>
      </w:r>
      <w:r w:rsidR="001468A3">
        <w:rPr>
          <w:rFonts w:ascii="Times New Roman" w:eastAsia="Courier New" w:hAnsi="Times New Roman" w:cs="Times New Roman"/>
          <w:sz w:val="28"/>
          <w:lang w:eastAsia="zh-CN"/>
        </w:rPr>
        <w:t xml:space="preserve"> на сумму 133,4 тыс. рублей;</w:t>
      </w:r>
    </w:p>
    <w:p w:rsidR="00A044F6" w:rsidRDefault="00EF1E71" w:rsidP="00A044F6">
      <w:pPr>
        <w:spacing w:after="120" w:line="240" w:lineRule="auto"/>
        <w:ind w:right="27"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sz w:val="28"/>
          <w:lang w:eastAsia="zh-CN"/>
        </w:rPr>
        <w:t>-</w:t>
      </w:r>
      <w:r w:rsidR="001A43DB" w:rsidRPr="001A43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62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1A43DB" w:rsidRPr="001A43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нарушение 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пункта 2.1. Приложения №3 </w:t>
      </w:r>
      <w:r w:rsidR="00F01547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к 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>Учетной политик</w:t>
      </w:r>
      <w:r w:rsidR="00F01547">
        <w:rPr>
          <w:rFonts w:ascii="Times New Roman" w:eastAsia="Courier New" w:hAnsi="Times New Roman" w:cs="Times New Roman"/>
          <w:sz w:val="28"/>
          <w:szCs w:val="28"/>
          <w:lang w:eastAsia="zh-CN"/>
        </w:rPr>
        <w:t>е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Предприятия в проверяемом периоде </w:t>
      </w:r>
      <w:r w:rsidR="001468A3">
        <w:rPr>
          <w:rFonts w:ascii="Times New Roman" w:eastAsia="Courier New" w:hAnsi="Times New Roman" w:cs="Times New Roman"/>
          <w:sz w:val="28"/>
          <w:szCs w:val="28"/>
          <w:lang w:eastAsia="zh-CN"/>
        </w:rPr>
        <w:t>установлено 39 фактов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выдач</w:t>
      </w:r>
      <w:r w:rsidR="001468A3">
        <w:rPr>
          <w:rFonts w:ascii="Times New Roman" w:eastAsia="Courier New" w:hAnsi="Times New Roman" w:cs="Times New Roman"/>
          <w:sz w:val="28"/>
          <w:szCs w:val="28"/>
          <w:lang w:eastAsia="zh-CN"/>
        </w:rPr>
        <w:t>и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наличных дене</w:t>
      </w:r>
      <w:r w:rsidR="001468A3">
        <w:rPr>
          <w:rFonts w:ascii="Times New Roman" w:eastAsia="Courier New" w:hAnsi="Times New Roman" w:cs="Times New Roman"/>
          <w:sz w:val="28"/>
          <w:szCs w:val="28"/>
          <w:lang w:eastAsia="zh-CN"/>
        </w:rPr>
        <w:t>жных средств из кассы Предприятия</w:t>
      </w:r>
      <w:r w:rsidR="001A43DB" w:rsidRPr="001A43DB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под отчет при неполном отчете конкретного подотчетного лица по ранее выданному авансу</w:t>
      </w:r>
      <w:r w:rsidR="00A044F6">
        <w:rPr>
          <w:rFonts w:ascii="Times New Roman" w:eastAsia="Courier New" w:hAnsi="Times New Roman" w:cs="Times New Roman"/>
          <w:sz w:val="28"/>
          <w:szCs w:val="28"/>
          <w:lang w:eastAsia="zh-CN"/>
        </w:rPr>
        <w:t>.</w:t>
      </w:r>
    </w:p>
    <w:p w:rsidR="00A044F6" w:rsidRDefault="00A044F6" w:rsidP="00A044F6">
      <w:pPr>
        <w:spacing w:after="120" w:line="240" w:lineRule="auto"/>
        <w:ind w:right="2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5FA" w:rsidRPr="002A75FA" w:rsidRDefault="002A75FA" w:rsidP="002A75F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контрольного мероприятия д</w:t>
      </w:r>
      <w:r w:rsidRPr="002A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иректору </w:t>
      </w:r>
      <w:r w:rsidRPr="002A75FA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унитарного предприятия Матвеево-Курганского района «Полигон» </w:t>
      </w:r>
      <w:r w:rsidRPr="002A75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выдано Представление для принятия мер по устранению выявленных нарушений и по недопущению их в дальнейшем.</w:t>
      </w:r>
    </w:p>
    <w:p w:rsidR="00EF6079" w:rsidRPr="002A75FA" w:rsidRDefault="00EF6079" w:rsidP="00F7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6079" w:rsidRPr="002A75FA" w:rsidRDefault="00EF6079" w:rsidP="00EF60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:rsidR="00EF6079" w:rsidRPr="009A6125" w:rsidRDefault="00EF6079" w:rsidP="00EF6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7790" w:rsidRPr="00EF6079" w:rsidRDefault="002D7790" w:rsidP="00EF6079"/>
    <w:sectPr w:rsidR="002D7790" w:rsidRPr="00EF6079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4F6">
          <w:rPr>
            <w:noProof/>
          </w:rPr>
          <w:t>2</w:t>
        </w:r>
        <w:r>
          <w:fldChar w:fldCharType="end"/>
        </w:r>
      </w:p>
    </w:sdtContent>
  </w:sdt>
  <w:p w:rsidR="00A51294" w:rsidRDefault="00A04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468A3"/>
    <w:rsid w:val="001A43DB"/>
    <w:rsid w:val="001C2A2C"/>
    <w:rsid w:val="001C6A1E"/>
    <w:rsid w:val="002246DA"/>
    <w:rsid w:val="00226F27"/>
    <w:rsid w:val="002760CF"/>
    <w:rsid w:val="002A75FA"/>
    <w:rsid w:val="002D7790"/>
    <w:rsid w:val="003275C5"/>
    <w:rsid w:val="00354249"/>
    <w:rsid w:val="00376EC9"/>
    <w:rsid w:val="00377479"/>
    <w:rsid w:val="003864C1"/>
    <w:rsid w:val="00392696"/>
    <w:rsid w:val="003C20D9"/>
    <w:rsid w:val="00406E87"/>
    <w:rsid w:val="00482DB2"/>
    <w:rsid w:val="004B425A"/>
    <w:rsid w:val="004D7185"/>
    <w:rsid w:val="005261B4"/>
    <w:rsid w:val="005431C6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C7E9D"/>
    <w:rsid w:val="007D4CCA"/>
    <w:rsid w:val="007F125C"/>
    <w:rsid w:val="008108C4"/>
    <w:rsid w:val="00861234"/>
    <w:rsid w:val="00870D45"/>
    <w:rsid w:val="00877599"/>
    <w:rsid w:val="00880797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044F6"/>
    <w:rsid w:val="00A11149"/>
    <w:rsid w:val="00A65397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E7B2B"/>
    <w:rsid w:val="00BF7FCE"/>
    <w:rsid w:val="00CD138E"/>
    <w:rsid w:val="00D159B1"/>
    <w:rsid w:val="00D15C63"/>
    <w:rsid w:val="00D24C0A"/>
    <w:rsid w:val="00DA112A"/>
    <w:rsid w:val="00E22CF1"/>
    <w:rsid w:val="00E42853"/>
    <w:rsid w:val="00E62339"/>
    <w:rsid w:val="00E84B1A"/>
    <w:rsid w:val="00E9173C"/>
    <w:rsid w:val="00E97177"/>
    <w:rsid w:val="00EB5609"/>
    <w:rsid w:val="00EC12C3"/>
    <w:rsid w:val="00EF1E71"/>
    <w:rsid w:val="00EF6079"/>
    <w:rsid w:val="00F01547"/>
    <w:rsid w:val="00F06205"/>
    <w:rsid w:val="00F11361"/>
    <w:rsid w:val="00F129EA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1F84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qFormat/>
    <w:rsid w:val="00376EC9"/>
    <w:rPr>
      <w:i/>
      <w:iCs/>
    </w:rPr>
  </w:style>
  <w:style w:type="paragraph" w:styleId="21">
    <w:name w:val="Body Text 2"/>
    <w:basedOn w:val="a"/>
    <w:link w:val="22"/>
    <w:unhideWhenUsed/>
    <w:rsid w:val="00A044F6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A044F6"/>
    <w:rPr>
      <w:rFonts w:ascii="Calibri" w:eastAsia="Courier New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2023-02-09T09:26:00Z</dcterms:created>
  <dcterms:modified xsi:type="dcterms:W3CDTF">2024-04-05T07:36:00Z</dcterms:modified>
</cp:coreProperties>
</file>